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pPr>
        <w:jc w:val="center"/>
        <w:rPr>
          <w:rFonts w:cs="B Nazanin"/>
          <w:color w:val="000000" w:themeColor="text1"/>
          <w:sz w:val="26"/>
          <w:szCs w:val="26"/>
          <w:u w:val="single"/>
          <w:rtl/>
          <w:lang w:bidi="fa-IR"/>
        </w:rPr>
      </w:pPr>
      <w:bookmarkStart w:id="0" w:name="_GoBack"/>
      <w:bookmarkEnd w:id="0"/>
      <w:r>
        <w:rPr>
          <w:rFonts w:cs="B Nazanin" w:hint="cs"/>
          <w:color w:val="000000" w:themeColor="text1"/>
          <w:sz w:val="26"/>
          <w:szCs w:val="26"/>
          <w:u w:val="single"/>
          <w:rtl/>
          <w:lang w:bidi="fa-IR"/>
        </w:rPr>
        <w:t>گزارش آماری تحلیلی</w:t>
      </w:r>
      <w:r>
        <w:rPr>
          <w:rFonts w:cs="B Nazanin" w:hint="cs"/>
          <w:color w:val="000000" w:themeColor="text1"/>
          <w:sz w:val="26"/>
          <w:szCs w:val="26"/>
          <w:u w:val="single"/>
          <w:rtl/>
          <w:lang w:bidi="fa-IR"/>
        </w:rPr>
        <w:t xml:space="preserve"> از عملکرد </w:t>
      </w:r>
      <w:r>
        <w:rPr>
          <w:rFonts w:cs="B Nazanin" w:hint="cs"/>
          <w:color w:val="000000" w:themeColor="text1"/>
          <w:sz w:val="26"/>
          <w:szCs w:val="26"/>
          <w:u w:val="single"/>
          <w:rtl/>
          <w:lang w:bidi="fa-IR"/>
        </w:rPr>
        <w:t>صنعت</w:t>
      </w:r>
      <w:r>
        <w:rPr>
          <w:rFonts w:cs="B Nazanin" w:hint="cs"/>
          <w:color w:val="000000" w:themeColor="text1"/>
          <w:sz w:val="26"/>
          <w:szCs w:val="26"/>
          <w:u w:val="single"/>
          <w:rtl/>
          <w:lang w:bidi="fa-IR"/>
        </w:rPr>
        <w:t xml:space="preserve"> بیمه در دو ماهه اول سال 1399</w:t>
      </w:r>
    </w:p>
    <w:p>
      <w:pPr>
        <w:jc w:val="center"/>
        <w:rPr>
          <w:rFonts w:cs="B Nazanin"/>
          <w:color w:val="000000" w:themeColor="text1"/>
          <w:sz w:val="26"/>
          <w:szCs w:val="26"/>
          <w:u w:val="single"/>
          <w:rtl/>
          <w:lang w:bidi="fa-IR"/>
        </w:rPr>
      </w:pPr>
    </w:p>
    <w:p>
      <w:pPr>
        <w:pStyle w:val="ListParagraph"/>
        <w:numPr>
          <w:ilvl w:val="0"/>
          <w:numId w:val="4"/>
        </w:numPr>
        <w:tabs>
          <w:tab w:val="right" w:pos="250"/>
          <w:tab w:val="right" w:pos="520"/>
        </w:tabs>
        <w:ind w:left="-2" w:firstLine="0"/>
        <w:jc w:val="both"/>
        <w:rPr>
          <w:rFonts w:cs="B Nazanin"/>
          <w:b w:val="0"/>
          <w:bCs w:val="0"/>
          <w:color w:val="000000" w:themeColor="text1"/>
          <w:sz w:val="26"/>
          <w:szCs w:val="26"/>
          <w:lang w:bidi="fa-IR"/>
        </w:rPr>
      </w:pPr>
      <w:r>
        <w:rPr>
          <w:rFonts w:cs="B Nazanin" w:hint="cs"/>
          <w:b w:val="0"/>
          <w:bCs w:val="0"/>
          <w:color w:val="000000" w:themeColor="text1"/>
          <w:sz w:val="26"/>
          <w:szCs w:val="26"/>
          <w:rtl/>
          <w:lang w:bidi="fa-IR"/>
        </w:rPr>
        <w:t>مبلغ حق بيمه توليدي و خسارت پرداختي به ترتيب در حدود 6/8 و 2/4 هزار ميليارد تومان است.</w:t>
      </w:r>
    </w:p>
    <w:p>
      <w:pPr>
        <w:pStyle w:val="ListParagraph"/>
        <w:numPr>
          <w:ilvl w:val="0"/>
          <w:numId w:val="4"/>
        </w:numPr>
        <w:tabs>
          <w:tab w:val="right" w:pos="250"/>
          <w:tab w:val="right" w:pos="520"/>
        </w:tabs>
        <w:ind w:left="-2" w:firstLine="0"/>
        <w:jc w:val="both"/>
        <w:rPr>
          <w:rFonts w:cs="B Nazanin"/>
          <w:b w:val="0"/>
          <w:bCs w:val="0"/>
          <w:color w:val="000000" w:themeColor="text1"/>
          <w:sz w:val="26"/>
          <w:szCs w:val="26"/>
          <w:lang w:bidi="fa-IR"/>
        </w:rPr>
      </w:pPr>
      <w:r>
        <w:rPr>
          <w:rFonts w:cs="B Nazanin" w:hint="cs"/>
          <w:b w:val="0"/>
          <w:bCs w:val="0"/>
          <w:color w:val="000000" w:themeColor="text1"/>
          <w:sz w:val="26"/>
          <w:szCs w:val="26"/>
          <w:rtl/>
          <w:lang w:bidi="fa-IR"/>
        </w:rPr>
        <w:t>تغییرات حق بيمه توليدي و خسارت پرداختی نسبت به مدت مشابه سال گذشته به ترتیب در حدود 4/31 و 2/12 درصد رشد بوده است.</w:t>
      </w:r>
    </w:p>
    <w:p>
      <w:pPr>
        <w:pStyle w:val="ListParagraph"/>
        <w:numPr>
          <w:ilvl w:val="0"/>
          <w:numId w:val="4"/>
        </w:numPr>
        <w:tabs>
          <w:tab w:val="right" w:pos="250"/>
          <w:tab w:val="right" w:pos="520"/>
        </w:tabs>
        <w:ind w:left="-2" w:firstLine="0"/>
        <w:jc w:val="both"/>
        <w:rPr>
          <w:rFonts w:cs="B Nazanin"/>
          <w:b w:val="0"/>
          <w:bCs w:val="0"/>
          <w:color w:val="000000" w:themeColor="text1"/>
          <w:sz w:val="26"/>
          <w:szCs w:val="26"/>
          <w:rtl/>
        </w:rPr>
      </w:pPr>
      <w:r>
        <w:rPr>
          <w:rFonts w:cs="B Nazanin" w:hint="cs"/>
          <w:b w:val="0"/>
          <w:bCs w:val="0"/>
          <w:color w:val="000000" w:themeColor="text1"/>
          <w:sz w:val="26"/>
          <w:szCs w:val="26"/>
          <w:rtl/>
        </w:rPr>
        <w:t xml:space="preserve">بررسی آمار عملکرد شرکتها و رشته های بیمه از حیث "نسبت خسارت" </w:t>
      </w:r>
      <w:r>
        <w:rPr>
          <w:rFonts w:cs="B Nazanin" w:hint="cs"/>
          <w:b w:val="0"/>
          <w:bCs w:val="0"/>
          <w:color w:val="000000" w:themeColor="text1"/>
          <w:sz w:val="26"/>
          <w:szCs w:val="26"/>
          <w:rtl/>
          <w:lang w:bidi="fa-IR"/>
        </w:rPr>
        <w:t>(حاصل تقسيم خسارت پرداختي به حق‌بيمه توليدي برحسب درصد)</w:t>
      </w:r>
      <w:r>
        <w:rPr>
          <w:rFonts w:cs="B Nazanin" w:hint="cs"/>
          <w:b w:val="0"/>
          <w:bCs w:val="0"/>
          <w:color w:val="000000" w:themeColor="text1"/>
          <w:sz w:val="26"/>
          <w:szCs w:val="26"/>
          <w:rtl/>
        </w:rPr>
        <w:t xml:space="preserve">در این مدت نمی تواند ارزیابی مطلوبی از عملکرد آنها در دسترس قرار داده و فعالیت واقعی شان را نشان بدهد، چرا که با گذشت تنها </w:t>
      </w:r>
      <w:r>
        <w:rPr>
          <w:rFonts w:cs="B Nazanin" w:hint="cs"/>
          <w:b w:val="0"/>
          <w:bCs w:val="0"/>
          <w:color w:val="000000" w:themeColor="text1"/>
          <w:sz w:val="26"/>
          <w:szCs w:val="26"/>
          <w:rtl/>
          <w:lang w:bidi="fa-IR"/>
        </w:rPr>
        <w:t>2</w:t>
      </w:r>
      <w:r>
        <w:rPr>
          <w:rFonts w:cs="B Nazanin" w:hint="cs"/>
          <w:b w:val="0"/>
          <w:bCs w:val="0"/>
          <w:color w:val="000000" w:themeColor="text1"/>
          <w:sz w:val="26"/>
          <w:szCs w:val="26"/>
          <w:rtl/>
        </w:rPr>
        <w:t xml:space="preserve"> ماه از سال، دریافت کامل حق بیمه های مربوط به برخی از بیمه نامه های صادره در این مدت انجام نگرفته و تا پایان سال وصول خواهند شد. با این وجود، آمار نسبت خسارت در شرکتها و رشته های بیمه در این مدت به شرح زیر است:</w:t>
      </w:r>
    </w:p>
    <w:p>
      <w:pPr>
        <w:pStyle w:val="ListParagraph"/>
        <w:numPr>
          <w:ilvl w:val="0"/>
          <w:numId w:val="6"/>
        </w:numPr>
        <w:tabs>
          <w:tab w:val="right" w:pos="281"/>
        </w:tabs>
        <w:ind w:left="565" w:hanging="284"/>
        <w:jc w:val="both"/>
        <w:rPr>
          <w:rFonts w:cs="B Nazanin"/>
          <w:b w:val="0"/>
          <w:bCs w:val="0"/>
          <w:color w:val="000000" w:themeColor="text1"/>
          <w:sz w:val="26"/>
          <w:szCs w:val="26"/>
          <w:lang w:bidi="fa-IR"/>
        </w:rPr>
      </w:pPr>
      <w:r>
        <w:rPr>
          <w:rFonts w:cs="B Nazanin" w:hint="cs"/>
          <w:b w:val="0"/>
          <w:bCs w:val="0"/>
          <w:color w:val="000000" w:themeColor="text1"/>
          <w:sz w:val="26"/>
          <w:szCs w:val="26"/>
          <w:rtl/>
          <w:lang w:bidi="fa-IR"/>
        </w:rPr>
        <w:t>نسبت خسارت بازار با 3/8 واحد کاهش (در مقايسه با دو ماهه اول سال قبل) به 7/48 درصد رسید</w:t>
      </w:r>
      <w:r>
        <w:rPr>
          <w:rFonts w:cs="B Nazanin" w:hint="cs"/>
          <w:b w:val="0"/>
          <w:bCs w:val="0"/>
          <w:color w:val="000000" w:themeColor="text1"/>
          <w:sz w:val="26"/>
          <w:szCs w:val="26"/>
          <w:rtl/>
          <w:lang w:bidi="fa-IR"/>
        </w:rPr>
        <w:t>ه است. شایان ذکر است در محاسبه این نسبت</w:t>
      </w:r>
      <w:r>
        <w:rPr>
          <w:rFonts w:cs="B Nazanin" w:hint="cs"/>
          <w:b w:val="0"/>
          <w:bCs w:val="0"/>
          <w:color w:val="000000" w:themeColor="text1"/>
          <w:sz w:val="26"/>
          <w:szCs w:val="26"/>
          <w:rtl/>
          <w:lang w:bidi="fa-IR"/>
        </w:rPr>
        <w:t>، مبالغ خسارت‌هاي معوق، ذخاير حق‌بيمه، كارمزد شبكه فروش و هزينه‌هاي اداري- عمومی شرکتهای بیمه در نظر گرفته نمي‌شود.</w:t>
      </w:r>
    </w:p>
    <w:p>
      <w:pPr>
        <w:pStyle w:val="ListParagraph"/>
        <w:numPr>
          <w:ilvl w:val="0"/>
          <w:numId w:val="6"/>
        </w:numPr>
        <w:tabs>
          <w:tab w:val="right" w:pos="-2"/>
          <w:tab w:val="right" w:pos="281"/>
        </w:tabs>
        <w:ind w:left="565" w:hanging="284"/>
        <w:jc w:val="both"/>
        <w:rPr>
          <w:rFonts w:cs="B Nazanin"/>
          <w:b w:val="0"/>
          <w:bCs w:val="0"/>
          <w:color w:val="000000" w:themeColor="text1"/>
          <w:sz w:val="26"/>
          <w:szCs w:val="26"/>
          <w:rtl/>
          <w:lang w:bidi="fa-IR"/>
        </w:rPr>
      </w:pPr>
      <w:r>
        <w:rPr>
          <w:rFonts w:cs="B Nazanin" w:hint="cs"/>
          <w:b w:val="0"/>
          <w:bCs w:val="0"/>
          <w:color w:val="000000" w:themeColor="text1"/>
          <w:sz w:val="26"/>
          <w:szCs w:val="26"/>
          <w:rtl/>
          <w:lang w:bidi="fa-IR"/>
        </w:rPr>
        <w:t>5 رشته‌ اعتبار، هواپیما، درمان، حوادث راننده و پول (به ترتیب با حدود 4/753، 8/137، 7/126، 7/59 و 3/56 درصد) نسبت خسارتي بالاتر از بازار بيمه داشتند و پس از آن، نسبت خسارت بیمه بدنه اتومبیل با 46 درصد قرار دارد که پائین تر از سطح بازار بیمه است.</w:t>
      </w:r>
    </w:p>
    <w:p>
      <w:pPr>
        <w:pStyle w:val="ListParagraph"/>
        <w:numPr>
          <w:ilvl w:val="0"/>
          <w:numId w:val="6"/>
        </w:numPr>
        <w:tabs>
          <w:tab w:val="right" w:pos="-2"/>
          <w:tab w:val="right" w:pos="281"/>
        </w:tabs>
        <w:ind w:left="565" w:hanging="284"/>
        <w:jc w:val="both"/>
        <w:rPr>
          <w:rFonts w:cs="B Nazanin"/>
          <w:b w:val="0"/>
          <w:bCs w:val="0"/>
          <w:color w:val="000000" w:themeColor="text1"/>
          <w:sz w:val="26"/>
          <w:szCs w:val="26"/>
          <w:lang w:bidi="fa-IR"/>
        </w:rPr>
      </w:pPr>
      <w:r>
        <w:rPr>
          <w:rFonts w:cs="B Nazanin" w:hint="cs"/>
          <w:b w:val="0"/>
          <w:bCs w:val="0"/>
          <w:color w:val="000000" w:themeColor="text1"/>
          <w:sz w:val="26"/>
          <w:szCs w:val="26"/>
          <w:rtl/>
          <w:lang w:bidi="fa-IR"/>
        </w:rPr>
        <w:t>نسبت خسارت 13 شركت بيمه: نوین، سامان، رازی، ملت، پارسیان، سینا، میهن، دانا، سرمد، کوثر، حافظ، آرمان و دی بالاتر ازسطح بازار بيمه بوده (بین 51 تا 2/374 درصد) که بیشتر متأثر از عملکرد رشته درمان (</w:t>
      </w:r>
      <w:r>
        <w:rPr>
          <w:rFonts w:cs="B Nazanin" w:hint="cs"/>
          <w:b w:val="0"/>
          <w:bCs w:val="0"/>
          <w:color w:val="000000" w:themeColor="text1"/>
          <w:sz w:val="26"/>
          <w:szCs w:val="26"/>
          <w:rtl/>
          <w:lang w:bidi="fa-IR"/>
        </w:rPr>
        <w:t xml:space="preserve">البته </w:t>
      </w:r>
      <w:r>
        <w:rPr>
          <w:rFonts w:cs="B Nazanin" w:hint="cs"/>
          <w:b w:val="0"/>
          <w:bCs w:val="0"/>
          <w:color w:val="000000" w:themeColor="text1"/>
          <w:sz w:val="26"/>
          <w:szCs w:val="26"/>
          <w:rtl/>
          <w:lang w:bidi="fa-IR"/>
        </w:rPr>
        <w:t>در دو شرکت بیمه آرمان و حافظ به ترتیب به واسطه عملکرد بیمه باربری و شخص ثالث-مازاد) می باشد و پس از آن نسبت خسارت شرکت بیمه آسیا با 45 درصد قرار گرفته که پائین تر از سطح بازار بیمه بوده است.</w:t>
      </w:r>
    </w:p>
    <w:p>
      <w:pPr>
        <w:pStyle w:val="ListParagraph"/>
        <w:numPr>
          <w:ilvl w:val="0"/>
          <w:numId w:val="4"/>
        </w:numPr>
        <w:tabs>
          <w:tab w:val="right" w:pos="250"/>
          <w:tab w:val="right" w:pos="520"/>
        </w:tabs>
        <w:ind w:left="-2" w:firstLine="0"/>
        <w:jc w:val="both"/>
        <w:rPr>
          <w:rFonts w:cs="B Nazanin"/>
          <w:b w:val="0"/>
          <w:bCs w:val="0"/>
          <w:color w:val="000000" w:themeColor="text1"/>
          <w:sz w:val="26"/>
          <w:szCs w:val="26"/>
          <w:lang w:bidi="fa-IR"/>
        </w:rPr>
      </w:pPr>
      <w:r>
        <w:rPr>
          <w:rFonts w:cs="B Nazanin" w:hint="cs"/>
          <w:b w:val="0"/>
          <w:bCs w:val="0"/>
          <w:color w:val="000000" w:themeColor="text1"/>
          <w:sz w:val="26"/>
          <w:szCs w:val="26"/>
          <w:rtl/>
          <w:lang w:bidi="fa-IR"/>
        </w:rPr>
        <w:t>سهم بخش غيردولتي از حق بيمه توليدي و خسارت پرداختي صنعت بيمه، به ترتیب حدود 2/67 و  1/75 درصد بوده است.</w:t>
      </w:r>
    </w:p>
    <w:p>
      <w:pPr>
        <w:pStyle w:val="ListParagraph"/>
        <w:numPr>
          <w:ilvl w:val="0"/>
          <w:numId w:val="4"/>
        </w:numPr>
        <w:tabs>
          <w:tab w:val="right" w:pos="250"/>
          <w:tab w:val="right" w:pos="520"/>
        </w:tabs>
        <w:ind w:left="-2" w:firstLine="0"/>
        <w:jc w:val="both"/>
        <w:rPr>
          <w:rFonts w:cs="B Nazanin"/>
          <w:b w:val="0"/>
          <w:bCs w:val="0"/>
          <w:color w:val="000000" w:themeColor="text1"/>
          <w:sz w:val="26"/>
          <w:szCs w:val="26"/>
          <w:lang w:bidi="fa-IR"/>
        </w:rPr>
      </w:pPr>
      <w:r>
        <w:rPr>
          <w:rFonts w:cs="B Nazanin" w:hint="cs"/>
          <w:b w:val="0"/>
          <w:bCs w:val="0"/>
          <w:color w:val="000000" w:themeColor="text1"/>
          <w:sz w:val="26"/>
          <w:szCs w:val="26"/>
          <w:rtl/>
        </w:rPr>
        <w:t xml:space="preserve">در بررسی </w:t>
      </w:r>
      <w:r>
        <w:rPr>
          <w:rFonts w:cs="B Nazanin" w:hint="cs"/>
          <w:b w:val="0"/>
          <w:bCs w:val="0"/>
          <w:color w:val="000000" w:themeColor="text1"/>
          <w:sz w:val="26"/>
          <w:szCs w:val="26"/>
          <w:rtl/>
          <w:lang w:bidi="fa-IR"/>
        </w:rPr>
        <w:t>سهم</w:t>
      </w:r>
      <w:r>
        <w:rPr>
          <w:rFonts w:cs="B Nazanin" w:hint="cs"/>
          <w:b w:val="0"/>
          <w:bCs w:val="0"/>
          <w:color w:val="000000" w:themeColor="text1"/>
          <w:sz w:val="26"/>
          <w:szCs w:val="26"/>
          <w:rtl/>
        </w:rPr>
        <w:t xml:space="preserve"> شرکتهای بیمه در بازار،</w:t>
      </w:r>
      <w:r>
        <w:rPr>
          <w:rFonts w:cs="B Nazanin" w:hint="cs"/>
          <w:b w:val="0"/>
          <w:bCs w:val="0"/>
          <w:color w:val="000000" w:themeColor="text1"/>
          <w:sz w:val="26"/>
          <w:szCs w:val="26"/>
          <w:rtl/>
          <w:lang w:bidi="fa-IR"/>
        </w:rPr>
        <w:t xml:space="preserve"> 8 شركت‌ بيمه به ترتیب: ايران 8/32 %، آسیا 5/10 %، دانا 6/8%، پاسارگاد 1/7 %، معلم 7/6 %، البرز 9/4 %، پارسیان 7/4 % و کوثر 9/3 % در مجموع 3/79 درصد از حق بیمه تولیدی بازار را به خود اختصاص داده و 7/20 درصد مابقی حق بیمه، توسط 19 شرکت بیمه دیگر تولید شده است.</w:t>
      </w:r>
    </w:p>
    <w:p>
      <w:pPr>
        <w:pStyle w:val="ListParagraph"/>
        <w:numPr>
          <w:ilvl w:val="0"/>
          <w:numId w:val="4"/>
        </w:numPr>
        <w:tabs>
          <w:tab w:val="right" w:pos="-2"/>
          <w:tab w:val="right" w:pos="281"/>
        </w:tabs>
        <w:ind w:left="-2" w:firstLine="0"/>
        <w:jc w:val="both"/>
        <w:rPr>
          <w:rFonts w:cs="B Nazanin"/>
          <w:b w:val="0"/>
          <w:bCs w:val="0"/>
          <w:sz w:val="26"/>
          <w:szCs w:val="26"/>
          <w:rtl/>
          <w:lang w:bidi="fa-IR"/>
        </w:rPr>
      </w:pPr>
      <w:r>
        <w:rPr>
          <w:rFonts w:cs="B Nazanin" w:hint="cs"/>
          <w:b w:val="0"/>
          <w:bCs w:val="0"/>
          <w:color w:val="000000" w:themeColor="text1"/>
          <w:sz w:val="26"/>
          <w:szCs w:val="26"/>
          <w:rtl/>
          <w:lang w:bidi="fa-IR"/>
        </w:rPr>
        <w:t>سهم 3 رشته بیمه شخص ثالث و مازاد، زندگی و درمان به ترتیب 39، 18 و 6/13 درصد از پرتفوی حق بیمه تولیدی در بازار است.البته سهم رشته های بیمه در دوره های زمانی کمتر از یک سالمعمولاً با تغییرات زیادی همراه است، لذا در تحلیل سهم از پورتفوی رشته ها در بازار بیمه باید این موضوع را مورد توجه قرار داد.</w:t>
      </w:r>
    </w:p>
    <w:p>
      <w:pPr>
        <w:rPr>
          <w:rFonts w:cs="B Nazanin"/>
          <w:sz w:val="26"/>
          <w:szCs w:val="26"/>
          <w:rtl/>
          <w:lang w:bidi="fa-IR"/>
        </w:rPr>
      </w:pPr>
    </w:p>
    <w:p>
      <w:pPr>
        <w:tabs>
          <w:tab w:val="left" w:pos="1015"/>
        </w:tabs>
        <w:rPr>
          <w:rFonts w:cs="B Nazanin"/>
          <w:sz w:val="26"/>
          <w:szCs w:val="26"/>
          <w:rtl/>
          <w:lang w:bidi="fa-IR"/>
        </w:rPr>
      </w:pPr>
    </w:p>
    <w:sectPr>
      <w:headerReference w:type="default" r:id="rId8"/>
      <w:footerReference w:type="default" r:id="rId9"/>
      <w:pgSz w:w="11906" w:h="16838" w:code="9"/>
      <w:pgMar w:top="2423" w:right="1418" w:bottom="851" w:left="1418" w:header="144" w:footer="336" w:gutter="0"/>
      <w:cols w:space="720"/>
      <w:bidi/>
      <w:rtlGutter/>
      <w:docGrid w:linePitch="360"/>
    </w:sectPr>
  </w:body>
</w:document>
</file>

<file path=word/endnotes.xml><?xml version="1.0" encoding="utf-8"?>
<w:endnotes xmlns:w="http://schemas.openxmlformats.org/wordprocessingml/2006/main">
  <w:endnote w:type="separator" w:id="0">
    <w:p>
      <w:r>
        <w:separator/>
      </w:r>
    </w:p>
  </w:endnote>
  <w:endnote w:type="continuationSeparator" w:id="1">
    <w:p>
      <w:r>
        <w:continuationSeparator/>
      </w:r>
    </w:p>
  </w:endnote>
</w:endnotes>
</file>

<file path=word/fontTable.xml><?xml version="1.0" encoding="utf-8"?>
<w:fonts xmlns:w="http://schemas.openxmlformats.org/wordprocessingml/2006/main">
  <w:font w:name="Times New Roman">
    <w:charset w:val="00"/>
    <w:family w:val="roman"/>
    <w:panose1 w:val="02020603050405020304"/>
    <w:pitch w:val="variable"/>
    <w:sig w:usb0="E0002AFF" w:usb1="C0007841" w:usb2="00000009" w:usb3="00000000" w:csb0="000001FF" w:csb1="00000000"/>
  </w:font>
  <w:font w:name="Calibri">
    <w:charset w:val="00"/>
    <w:family w:val="swiss"/>
    <w:panose1 w:val="020F0502020204030204"/>
    <w:pitch w:val="variable"/>
    <w:sig w:usb0="E10002FF" w:usb1="4000ACFF" w:usb2="00000009" w:usb3="00000000" w:csb0="0000019F" w:csb1="00000000"/>
  </w:font>
  <w:font w:name="B Nazanin">
    <w:charset w:val="B2"/>
    <w:family w:val="auto"/>
    <w:panose1 w:val="00000400000000000000"/>
    <w:pitch w:val="variable"/>
    <w:sig w:usb0="00002001" w:usb1="80000000" w:usb2="00000008" w:usb3="00000000" w:csb0="00000040" w:csb1="00000000"/>
  </w:font>
  <w:font w:name="Courier New">
    <w:charset w:val="00"/>
    <w:family w:val="modern"/>
    <w:panose1 w:val="02070309020205020404"/>
    <w:pitch w:val="fixed"/>
    <w:sig w:usb0="E0002AFF" w:usb1="C0007843" w:usb2="00000009" w:usb3="00000000" w:csb0="000001FF" w:csb1="00000000"/>
  </w:font>
  <w:font w:name="Wingdings">
    <w:charset w:val="02"/>
    <w:family w:val="auto"/>
    <w:panose1 w:val="05000000000000000000"/>
    <w:pitch w:val="variable"/>
    <w:sig w:usb0="00000000" w:usb1="10000000" w:usb2="00000000" w:usb3="00000000" w:csb0="80000000" w:csb1="00000000"/>
  </w:font>
  <w:font w:name="Symbol">
    <w:charset w:val="02"/>
    <w:family w:val="roman"/>
    <w:panose1 w:val="05050102010706020507"/>
    <w:pitch w:val="variable"/>
    <w:sig w:usb0="00000000" w:usb1="10000000" w:usb2="00000000" w:usb3="00000000" w:csb0="80000000" w:csb1="00000000"/>
  </w:font>
  <w:font w:name="Tahoma">
    <w:charset w:val="00"/>
    <w:family w:val="swiss"/>
    <w:panose1 w:val="020B0604030504040204"/>
    <w:pitch w:val="variable"/>
    <w:sig w:usb0="E1002EFF" w:usb1="C000605B" w:usb2="00000029" w:usb3="00000000" w:csb0="000101FF" w:csb1="00000000"/>
  </w:font>
  <w:font w:name="B Lotus">
    <w:charset w:val="B2"/>
    <w:family w:val="auto"/>
    <w:panose1 w:val="00000400000000000000"/>
    <w:pitch w:val="variable"/>
    <w:sig w:usb0="00002001" w:usb1="80000000" w:usb2="00000008" w:usb3="00000000" w:csb0="00000040" w:csb1="00000000"/>
  </w:font>
  <w:font w:name="Arial">
    <w:charset w:val="00"/>
    <w:family w:val="swiss"/>
    <w:panose1 w:val="020B0604020202020204"/>
    <w:pitch w:val="variable"/>
    <w:sig w:usb0="E0002AFF" w:usb1="C0007843" w:usb2="00000009" w:usb3="00000000" w:csb0="000001FF" w:csb1="00000000"/>
  </w:font>
  <w:font w:name="Cambria">
    <w:charset w:val="00"/>
    <w:family w:val="roman"/>
    <w:panose1 w:val="02040503050406030204"/>
    <w:pitch w:val="variable"/>
    <w:sig w:usb0="E00002FF" w:usb1="400004FF" w:usb2="00000000" w:usb3="00000000" w:csb0="0000019F" w:csb1="00000000"/>
  </w:font>
  <w:font w:name="Lotus">
    <w:altName w:val="Courier New"/>
    <w:charset w:val="B2"/>
    <w:family w:val="auto"/>
    <w:pitch w:val="variable"/>
    <w:sig w:usb0="00002000" w:usb1="00000000" w:usb2="00000000" w:usb3="00000000" w:csb0="00000040" w:csb1="00000000"/>
  </w:font>
  <w:font w:name="B Davat">
    <w:charset w:val="B2"/>
    <w:family w:val="auto"/>
    <w:panose1 w:val="00000400000000000000"/>
    <w:pitch w:val="variable"/>
    <w:sig w:usb0="00002001" w:usb1="80000000" w:usb2="00000008" w:usb3="00000000" w:csb0="00000040" w:csb1="00000000"/>
  </w:font>
  <w:font w:name="B Mitra">
    <w:charset w:val="B2"/>
    <w:family w:val="auto"/>
    <w:panose1 w:val="00000400000000000000"/>
    <w:pitch w:val="variable"/>
    <w:sig w:usb0="00002001" w:usb1="80000000" w:usb2="00000008" w:usb3="00000000" w:csb0="00000040" w:csb1="00000000"/>
  </w:font>
</w:fonts>
</file>

<file path=word/footer1.xml><?xml version="1.0" encoding="utf-8"?>
<w:ftr xmlns:o="urn:schemas-microsoft-com:office:office" xmlns:v="urn:schemas-microsoft-com:vml" xmlns:w="http://schemas.openxmlformats.org/wordprocessingml/2006/main">
  <w:p>
    <w:pPr>
      <w:pStyle w:val="Footer"/>
      <w:tabs>
        <w:tab w:val="center" w:pos="4535"/>
        <w:tab w:val="left" w:pos="4847"/>
        <w:tab w:val="right" w:pos="9070"/>
      </w:tabs>
      <w:rPr>
        <w:rFonts w:cs="B Mitra"/>
        <w:b w:val="0"/>
        <w:bCs w:val="0"/>
        <w:sz w:val="16"/>
        <w:szCs w:val="16"/>
      </w:rPr>
    </w:pPr>
  </w:p>
  <w:p>
    <w:pPr>
      <w:pStyle w:val="Footer"/>
      <w:tabs>
        <w:tab w:val="center" w:pos="4535"/>
        <w:tab w:val="left" w:pos="4847"/>
        <w:tab w:val="right" w:pos="9070"/>
      </w:tabs>
      <w:rPr>
        <w:rFonts w:cs="B Mitra"/>
        <w:b w:val="0"/>
        <w:bCs w:val="0"/>
        <w:sz w:val="16"/>
        <w:szCs w:val="16"/>
        <w:rtl/>
      </w:rPr>
    </w:pPr>
    <w:r>
      <w:rPr>
        <w:rFonts w:cs="B Mitra"/>
        <w:b w:val="0"/>
        <w:bCs w:val="0"/>
        <w:sz w:val="16"/>
        <w:szCs w:val="16"/>
        <w:rtl/>
      </w:rPr>
      <w:tab/>
    </w:r>
    <w:r>
      <w:rPr>
        <w:rFonts w:cs="B Mitra"/>
        <w:b w:val="0"/>
        <w:bCs w:val="0"/>
        <w:sz w:val="16"/>
        <w:szCs w:val="16"/>
        <w:rtl/>
      </w:rPr>
      <w:tab/>
    </w:r>
    <w:r>
      <w:rPr>
        <w:rFonts w:cs="B Mitra"/>
        <w:b w:val="0"/>
        <w:bCs w:val="0"/>
        <w:noProof/>
        <w:sz w:val="16"/>
        <w:szCs w:val="16"/>
        <w:rtl/>
      </w:rPr>
      <w:pict>
        <v:group id="Group 2" o:spid="_x0000_s4097" style="position:absolute;left:0;text-align:left;margin-left:57.6pt;margin-top:-.35pt;width:338.25pt;height:12pt;z-index:251658240;mso-position-horizontal-relative:text;mso-position-vertical-relative:text" coordorigin="2570,15329" coordsize="67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">
          <v:shapetype id="_x0000_t32" coordsize="21600,21600" o:spt="32" o:oned="t" path="m,l21600,21600e" filled="f">
            <v:path arrowok="t" fillok="f" o:connecttype="none"/>
            <o:lock v:ext="edit" shapetype="t"/>
          </v:shapetype>
          <v:shape id="AutoShape 3" o:spid="_x0000_s4105" type="#_x0000_t32" style="position:absolute;left:2570;top:15453;width:676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" strokeweight="1pt"/>
          <v:shapetype id="_x0000_t4" coordsize="21600,21600" o:spt="4" path="m10800,l,10800,10800,21600,21600,10800xe">
            <v:stroke joinstyle="miter"/>
            <v:path gradientshapeok="t" o:connecttype="rect" textboxrect="5400,5400,16200,16200"/>
          </v:shapetype>
          <v:shape id="AutoShape 4" o:spid="_x0000_s4104" type="#_x0000_t4" style="position:absolute;left:5986;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" fillcolor="black"/>
          <v:shape id="AutoShape 5" o:spid="_x0000_s4103" type="#_x0000_t4" style="position:absolute;left:6211;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" fillcolor="black"/>
          <v:shape id="AutoShape 6" o:spid="_x0000_s4102" type="#_x0000_t4" style="position:absolute;left:6436;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" fillcolor="black"/>
          <v:shape id="AutoShape 7" o:spid="_x0000_s4101" type="#_x0000_t4" style="position:absolute;left:5746;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" fillcolor="black"/>
          <v:shape id="AutoShape 8" o:spid="_x0000_s4100" type="#_x0000_t4" style="position:absolute;left:5506;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" fillcolor="black"/>
          <v:shape id="AutoShape 9" o:spid="_x0000_s4099" type="#_x0000_t4" style="position:absolute;left:6676;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" fillcolor="black"/>
          <v:shape id="AutoShape 10" o:spid="_x0000_s4098" type="#_x0000_t4" style="position:absolute;left:5266;top:15329;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" fillcolor="black"/>
        </v:group>
      </w:pict>
    </w:r>
    <w:r>
      <w:rPr>
        <w:rFonts w:cs="B Mitra"/>
        <w:b w:val="0"/>
        <w:bCs w:val="0"/>
        <w:sz w:val="16"/>
        <w:szCs w:val="16"/>
        <w:rtl/>
      </w:rPr>
      <w:tab/>
    </w:r>
    <w:r>
      <w:rPr>
        <w:rFonts w:cs="B Mitra"/>
        <w:b w:val="0"/>
        <w:bCs w:val="0"/>
        <w:sz w:val="16"/>
        <w:szCs w:val="16"/>
        <w:rtl/>
      </w:rPr>
      <w:tab/>
    </w:r>
    <w:r>
      <w:rPr>
        <w:rFonts w:cs="B Mitra"/>
        <w:b w:val="0"/>
        <w:bCs w:val="0"/>
        <w:sz w:val="16"/>
        <w:szCs w:val="16"/>
        <w:rtl/>
      </w:rPr>
      <w:tab/>
    </w:r>
  </w:p>
  <w:p>
    <w:pPr>
      <w:jc w:val="center"/>
      <w:rPr>
        <w:rFonts w:cs="B Mitra"/>
        <w:sz w:val="18"/>
        <w:szCs w:val="18"/>
        <w:rtl/>
      </w:rPr>
    </w:pPr>
    <w:r>
      <w:rPr>
        <w:rFonts w:cs="B Mitra" w:hint="cs"/>
        <w:sz w:val="18"/>
        <w:szCs w:val="18"/>
        <w:rtl/>
      </w:rPr>
      <w:t>تهران</w:t>
    </w:r>
    <w:r>
      <w:rPr>
        <w:rFonts w:cs="B Mitra" w:hint="cs"/>
        <w:sz w:val="18"/>
        <w:szCs w:val="18"/>
        <w:rtl/>
      </w:rPr>
      <w:t>-</w:t>
    </w:r>
    <w:r>
      <w:rPr>
        <w:rFonts w:cs="B Mitra" w:hint="cs"/>
        <w:sz w:val="18"/>
        <w:szCs w:val="18"/>
        <w:rtl/>
      </w:rPr>
      <w:t xml:space="preserve"> خیابان نلسون ماندلا</w:t>
    </w:r>
    <w:r>
      <w:rPr>
        <w:rFonts w:cs="B Mitra" w:hint="cs"/>
        <w:sz w:val="18"/>
        <w:szCs w:val="18"/>
        <w:rtl/>
      </w:rPr>
      <w:t>-</w:t>
    </w:r>
    <w:r>
      <w:rPr>
        <w:rFonts w:cs="B Mitra" w:hint="cs"/>
        <w:sz w:val="18"/>
        <w:szCs w:val="18"/>
        <w:rtl/>
      </w:rPr>
      <w:t xml:space="preserve"> نبش خیابان مریم</w:t>
    </w:r>
    <w:r>
      <w:rPr>
        <w:rFonts w:cs="B Mitra" w:hint="cs"/>
        <w:sz w:val="18"/>
        <w:szCs w:val="18"/>
        <w:rtl/>
      </w:rPr>
      <w:t xml:space="preserve">- </w:t>
    </w:r>
    <w:r>
      <w:rPr>
        <w:rFonts w:cs="B Mitra" w:hint="cs"/>
        <w:sz w:val="18"/>
        <w:szCs w:val="18"/>
        <w:rtl/>
      </w:rPr>
      <w:t>شماره</w:t>
    </w:r>
    <w:r>
      <w:rPr>
        <w:rFonts w:cs="B Mitra" w:hint="cs"/>
        <w:sz w:val="18"/>
        <w:szCs w:val="18"/>
        <w:rtl/>
      </w:rPr>
      <w:t>2</w:t>
    </w:r>
    <w:r>
      <w:rPr>
        <w:rFonts w:cs="B Mitra" w:hint="cs"/>
        <w:sz w:val="18"/>
        <w:szCs w:val="18"/>
        <w:rtl/>
      </w:rPr>
      <w:t>-</w:t>
    </w:r>
    <w:r>
      <w:rPr>
        <w:rFonts w:cs="B Mitra" w:hint="cs"/>
        <w:sz w:val="18"/>
        <w:szCs w:val="18"/>
        <w:rtl/>
      </w:rPr>
      <w:t xml:space="preserve">برج بیمه </w:t>
    </w:r>
    <w:r>
      <w:rPr>
        <w:rFonts w:cs="B Mitra" w:hint="cs"/>
        <w:sz w:val="18"/>
        <w:szCs w:val="18"/>
        <w:rtl/>
      </w:rPr>
      <w:t>-</w:t>
    </w:r>
    <w:r>
      <w:rPr>
        <w:rFonts w:cs="B Mitra" w:hint="cs"/>
        <w:sz w:val="18"/>
        <w:szCs w:val="18"/>
        <w:rtl/>
      </w:rPr>
      <w:t>کد پستی 1967764111</w:t>
    </w:r>
    <w:r>
      <w:rPr>
        <w:rFonts w:cs="B Mitra" w:hint="cs"/>
        <w:sz w:val="18"/>
        <w:szCs w:val="18"/>
        <w:rtl/>
      </w:rPr>
      <w:t>-</w:t>
    </w:r>
    <w:r>
      <w:rPr>
        <w:rFonts w:cs="B Mitra" w:hint="cs"/>
        <w:sz w:val="18"/>
        <w:szCs w:val="18"/>
        <w:rtl/>
      </w:rPr>
      <w:t xml:space="preserve"> صندوق پستی 5588</w:t>
    </w:r>
    <w:r>
      <w:rPr>
        <w:rFonts w:cs="B Mitra" w:hint="cs"/>
        <w:sz w:val="18"/>
        <w:szCs w:val="18"/>
        <w:rtl/>
      </w:rPr>
      <w:t xml:space="preserve">- </w:t>
    </w:r>
    <w:r>
      <w:rPr>
        <w:rFonts w:cs="B Mitra" w:hint="cs"/>
        <w:sz w:val="18"/>
        <w:szCs w:val="18"/>
        <w:rtl/>
      </w:rPr>
      <w:t>19395</w:t>
    </w:r>
  </w:p>
  <w:p>
    <w:pPr>
      <w:jc w:val="center"/>
      <w:rPr>
        <w:rFonts w:cs="B Nazanin"/>
        <w:sz w:val="48"/>
        <w:szCs w:val="48"/>
        <w:lang w:bidi="fa-IR"/>
      </w:rPr>
    </w:pPr>
    <w:r>
      <w:rPr>
        <w:rFonts w:cs="B Mitra" w:hint="cs"/>
        <w:sz w:val="18"/>
        <w:szCs w:val="18"/>
        <w:rtl/>
      </w:rPr>
      <w:t xml:space="preserve">سامانه پاسخگویی: 2342  </w:t>
    </w:r>
    <w:r>
      <w:rPr>
        <w:rFonts w:cs="B Mitra" w:hint="cs"/>
        <w:sz w:val="18"/>
        <w:szCs w:val="18"/>
        <w:rtl/>
      </w:rPr>
      <w:t>تلفن:</w:t>
    </w:r>
    <w:r>
      <w:rPr>
        <w:rFonts w:cs="B Mitra" w:hint="cs"/>
        <w:sz w:val="18"/>
        <w:szCs w:val="18"/>
        <w:rtl/>
      </w:rPr>
      <w:t>24551000</w:t>
    </w:r>
    <w:r>
      <w:rPr>
        <w:rFonts w:cs="B Mitra" w:hint="cs"/>
        <w:sz w:val="18"/>
        <w:szCs w:val="18"/>
        <w:rtl/>
      </w:rPr>
      <w:t>نمابر: 22054099</w:t>
    </w:r>
    <w:r>
      <w:rPr>
        <w:rFonts w:cs="B Mitra"/>
        <w:sz w:val="18"/>
        <w:szCs w:val="18"/>
      </w:rPr>
      <w:t>E-mail:Secretariat@centinsur.ir</w:t>
    </w:r>
  </w:p>
  <w:p>
    <w:pPr>
      <w:pStyle w:val="Footer"/>
      <w:jc w:val="center"/>
      <w:rPr>
        <w:rFonts w:cs="B Mitra"/>
        <w:b w:val="0"/>
        <w:bCs w:val="0"/>
        <w:sz w:val="16"/>
        <w:szCs w:val="16"/>
        <w:rtl/>
        <w:lang w:bidi="fa-IR"/>
      </w:rPr>
    </w:pPr>
  </w:p>
</w:ftr>
</file>

<file path=word/footnotes.xml><?xml version="1.0" encoding="utf-8"?>
<w:footnotes xmlns:w="http://schemas.openxmlformats.org/wordprocessingml/2006/main">
  <w:footnote w:type="separator" w:id="0">
    <w:p>
      <w:r>
        <w:separator/>
      </w:r>
    </w:p>
  </w:footnote>
  <w:footnote w:type="continuationSeparator" w:id="1">
    <w:p>
      <w:r>
        <w:continuationSeparator/>
      </w:r>
    </w:p>
  </w:footnote>
</w:footnotes>
</file>

<file path=word/header1.xml><?xml version="1.0" encoding="utf-8"?>
<w:hdr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p>
    <w:pPr>
      <w:ind w:left="-1701" w:right="-1080"/>
      <w:jc w:val="center"/>
      <w:rPr>
        <w:sz w:val="28"/>
        <w:szCs w:val="28"/>
        <w:rtl/>
        <w:lang w:bidi="fa-IR"/>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2004695</wp:posOffset>
          </wp:positionH>
          <wp:positionV relativeFrom="paragraph">
            <wp:posOffset>243205</wp:posOffset>
          </wp:positionV>
          <wp:extent cx="1895475" cy="1428750"/>
          <wp:effectExtent l="0" t="0" r="0" b="0"/>
          <wp:wrapTight wrapText="bothSides">
            <wp:wrapPolygon edited="0">
              <wp:start x="0" y="0"/>
              <wp:lineTo x="0" y="21312"/>
              <wp:lineTo x="21491" y="21312"/>
              <wp:lineTo x="21491" y="0"/>
              <wp:lineTo x="0" y="0"/>
            </wp:wrapPolygon>
          </wp:wrapTight>
          <wp:docPr id="2" name="Picture 2" descr="2"/>
          <wp:cNvGraphicFramePr>
            <a:graphicFrameLocks noChangeAspect="1"/>
          </wp:cNvGraphicFramePr>
          <a:graphic>
            <a:graphicData uri="http://schemas.openxmlformats.org/drawingml/2006/picture">
              <pic:pic>
                <pic:nvPicPr>
                  <pic:cNvPr id="0" name="Picture 1" descr="2"/>
                  <pic:cNvPicPr>
                    <a:picLocks noChangeAspect="1" noChangeArrowheads="1"/>
                  </pic:cNvPicPr>
                </pic:nvPicPr>
                <pic:blipFill>
                  <a:blip r:embed="rId1"/>
                  <a:srcRect/>
                  <a:stretch>
                    <a:fillRect/>
                  </a:stretch>
                </pic:blipFill>
                <pic:spPr bwMode="auto">
                  <a:xfrm>
                    <a:off x="0" y="0"/>
                    <a:ext cx="1895475" cy="1428750"/>
                  </a:xfrm>
                  <a:prstGeom prst="rect">
                    <a:avLst/>
                  </a:prstGeom>
                  <a:noFill/>
                  <a:ln w="9525">
                    <a:noFill/>
                    <a:miter lim="800000"/>
                    <a:headEnd/>
                    <a:tailEnd/>
                  </a:ln>
                </pic:spPr>
              </pic:pic>
            </a:graphicData>
          </a:graphic>
        </wp:anchor>
      </w:drawing>
    </w:r>
  </w:p>
  <w:p>
    <w:pPr>
      <w:rPr>
        <w:sz w:val="28"/>
        <w:szCs w:val="28"/>
        <w:lang w:bidi="fa-IR"/>
      </w:rPr>
    </w:pPr>
    <w:r>
      <w:rPr>
        <w:rFonts w:cs="Lotus" w:hint="cs"/>
        <w:rtl/>
        <w:lang w:bidi="fa-IR"/>
      </w:rPr>
      <w:tab/>
    </w:r>
    <w:r>
      <w:rPr>
        <w:rFonts w:cs="Lotus" w:hint="cs"/>
        <w:rtl/>
        <w:lang w:bidi="fa-IR"/>
      </w:rPr>
      <w:tab/>
    </w:r>
    <w:r>
      <w:rPr>
        <w:rFonts w:cs="Lotus" w:hint="cs"/>
        <w:rtl/>
        <w:lang w:bidi="fa-IR"/>
      </w:rPr>
      <w:tab/>
    </w:r>
  </w:p>
  <w:p>
    <w:pPr>
      <w:jc w:val="center"/>
      <w:rPr>
        <w:sz w:val="28"/>
        <w:szCs w:val="28"/>
        <w:rtl/>
        <w:lang w:bidi="fa-IR"/>
      </w:rPr>
    </w:pPr>
  </w:p>
  <w:p>
    <w:pPr>
      <w:rPr>
        <w:rFonts w:cs="B Davat"/>
        <w:b w:val="0"/>
        <w:bCs w:val="0"/>
        <w:sz w:val="28"/>
        <w:szCs w:val="28"/>
        <w:lang w:bidi="fa-IR"/>
      </w:rPr>
    </w:pPr>
  </w:p>
  <w:p>
    <w:pPr>
      <w:rPr>
        <w:rFonts w:ascii="Tahoma" w:hAnsi="Tahoma" w:cs="B Nazanin"/>
        <w:b w:val="0"/>
        <w:bCs w:val="0"/>
        <w:sz w:val="22"/>
        <w:szCs w:val="22"/>
        <w:rtl/>
      </w:rPr>
    </w:pPr>
  </w:p>
  <w:p>
    <w:pPr>
      <w:rPr>
        <w:rStyle w:val="Strong"/>
        <w:rFonts w:ascii="Tahoma" w:hAnsi="Tahoma" w:cs="Tahoma"/>
        <w:color w:val="0C1F63"/>
        <w:rtl/>
        <w:lang w:bidi="fa-IR"/>
      </w:rPr>
    </w:pPr>
  </w:p>
  <w:p>
    <w:pPr>
      <w:rPr>
        <w:rStyle w:val="Strong"/>
        <w:rFonts w:ascii="Tahoma" w:hAnsi="Tahoma" w:cs="Tahoma"/>
        <w:color w:val="0C1F63"/>
        <w:rtl/>
        <w:lang w:bidi="fa-IR"/>
      </w:rPr>
    </w:pPr>
  </w:p>
  <w:p>
    <w:pPr>
      <w:rPr>
        <w:rStyle w:val="Strong"/>
        <w:rFonts w:ascii="Tahoma" w:hAnsi="Tahoma" w:cs="Tahoma"/>
        <w:color w:val="0C1F63"/>
        <w:rtl/>
        <w:lang w:bidi="fa-IR"/>
      </w:rPr>
    </w:pPr>
  </w:p>
</w:hdr>
</file>

<file path=word/settings.xml><?xml version="1.0" encoding="utf-8"?>
<w:settings xmlns:m="http://schemas.openxmlformats.org/officeDocument/2006/math" xmlns:o="urn:schemas-microsoft-com:office:office" xmlns:v="urn:schemas-microsoft-com:vml" xmlns:w="http://schemas.openxmlformats.org/wordprocessingml/2006/main">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3F01"/>
  <w:defaultTabStop w:val="720"/>
  <w:characterSpacingControl w:val="doNotCompress"/>
  <w:hdrShapeDefaults>
    <o:shapedefaults v:ext="edit" spidmax="5122"/>
    <o:shapelayout v:ext="edit">
      <o:idmap v:ext="edit" data="4"/>
      <o:rules v:ext="edit">
        <o:r id="V:Rule1" type="connector" idref="#AutoShape 3"/>
      </o:rules>
    </o:shapelayout>
  </w:hdrShapeDefaults>
  <w:footnotePr>
    <w:footnote w:id="0"/>
    <w:footnote w:id="1"/>
  </w:footnotePr>
  <w:endnotePr>
    <w:endnote w:id="0"/>
    <w:endnote w:id="1"/>
  </w:endnotePr>
  <w:compat/>
  <m:mathPr>
    <m:brkBin m:val="before"/>
    <m:brkBinSub m:val="--"/>
    <m:defJc m:val="centerGroup"/>
    <m:dispDef/>
    <m:intLim m:val="subSup"/>
    <m:lMargin m:val="0"/>
    <m:mathFont m:val="Cambria Math"/>
    <m:naryLim m:val="undOvr"/>
    <m:rMargin m:val="0"/>
    <m:smallFrac/>
    <m:wrapIndent m:val="1440"/>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w="http://schemas.openxmlformats.org/wordprocessingml/2006/main">
  <w:docDefaults>
    <w:pPrDefault/>
    <w:rPrDefault>
      <w:rPr>
        <w:rFonts w:ascii="Calibri" w:eastAsia="Times New Roman" w:hAnsi="Calibri" w:cs="B Lotus"/>
        <w:lang w:val="en-US" w:eastAsia="en-US" w:bidi="fa-IR"/>
      </w:rPr>
    </w:r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qFormat/>
    <w:rPr>
      <w:b/>
      <w:bCs/>
      <w:sz w:val="24"/>
      <w:szCs w:val="24"/>
      <w:lang w:bidi="ar-SA"/>
    </w:rPr>
  </w:style>
  <w:style w:type="paragraph" w:styleId="Heading1">
    <w:basedOn w:val="Normal"/>
    <w:name w:val="heading 1"/>
    <w:next w:val="Normal"/>
    <w:pPr>
      <w:keepNext/>
      <w:spacing w:before="240" w:after="60"/>
      <w:outlineLvl w:val="0"/>
    </w:pPr>
    <w:qFormat/>
    <w:rPr>
      <w:rFonts w:ascii="Arial" w:hAnsi="Arial" w:cs="Arial"/>
      <w:b w:val="0"/>
      <w:bCs w:val="0"/>
      <w:kern w:val="32"/>
      <w:sz w:val="32"/>
      <w:szCs w:val="32"/>
    </w:rPr>
  </w:style>
  <w:style w:type="paragraph" w:styleId="Heading4">
    <w:basedOn w:val="Normal"/>
    <w:link w:val="Heading4Char"/>
    <w:name w:val="heading 4"/>
    <w:next w:val="Normal"/>
    <w:pPr>
      <w:keepNext/>
      <w:keepLines/>
      <w:spacing w:before="40"/>
      <w:outlineLvl w:val="3"/>
    </w:pPr>
    <w:qFormat/>
    <w:rPr>
      <w:rFonts w:asciiTheme="majorHAnsi" w:eastAsiaTheme="majorEastAsia" w:hAnsiTheme="majorHAnsi" w:cstheme="majorBidi"/>
      <w:i/>
      <w:iCs/>
      <w:color w:val="365F91" w:themeColor="accent1" w:themeShade="BF"/>
    </w:rPr>
    <w:semiHidden/>
    <w:unhideWhenUsed/>
  </w:style>
  <w:style w:type="character" w:default="1" w:styleId="DefaultParagraphFont">
    <w:name w:val="Default Paragraph Font"/>
    <w:semiHidden/>
    <w:uiPriority w:val="1"/>
    <w:unhideWhenUsed/>
  </w:style>
  <w:style w:type="table" w:default="1" w:styleId="TableNormal">
    <w:name w:val="Normal Table"/>
    <w:qFormat/>
    <w:semiHidden/>
    <w:tblPr>
      <w:tblInd w:w="0" w:type="dxa"/>
      <w:tblCellMar>
        <w:top w:w="0" w:type="dxa"/>
        <w:left w:w="108" w:type="dxa"/>
        <w:bottom w:w="0" w:type="dxa"/>
        <w:right w:w="108" w:type="dxa"/>
      </w:tblCellMar>
    </w:tblPr>
    <w:uiPriority w:val="99"/>
    <w:unhideWhenUsed/>
  </w:style>
  <w:style w:type="numbering" w:default="1" w:styleId="NoList">
    <w:name w:val="No List"/>
    <w:semiHidden/>
    <w:uiPriority w:val="99"/>
    <w:unhideWhenUsed/>
  </w:style>
  <w:style w:type="paragraph" w:styleId="Header">
    <w:basedOn w:val="Normal"/>
    <w:link w:val="HeaderChar"/>
    <w:name w:val="header"/>
    <w:pPr>
      <w:tabs>
        <w:tab w:val="center" w:pos="4153"/>
        <w:tab w:val="right" w:pos="8306"/>
      </w:tabs>
    </w:pPr>
  </w:style>
  <w:style w:type="paragraph" w:styleId="Footer">
    <w:basedOn w:val="Normal"/>
    <w:link w:val="FooterChar"/>
    <w:name w:val="footer"/>
    <w:pPr>
      <w:tabs>
        <w:tab w:val="center" w:pos="4153"/>
        <w:tab w:val="right" w:pos="8306"/>
      </w:tabs>
    </w:pPr>
    <w:uiPriority w:val="99"/>
  </w:style>
  <w:style w:type="table" w:styleId="TableGrid">
    <w:basedOn w:val="TableNormal"/>
    <w:name w:val="Table Gri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link w:val="Footer"/>
    <w:name w:val="Footer Char"/>
    <w:rPr>
      <w:b/>
      <w:bCs/>
      <w:sz w:val="24"/>
      <w:szCs w:val="24"/>
      <w:lang w:bidi="ar-SA"/>
    </w:rPr>
    <w:uiPriority w:val="99"/>
  </w:style>
  <w:style w:type="character" w:customStyle="1" w:styleId="HeaderChar">
    <w:link w:val="Header"/>
    <w:name w:val="Header Char"/>
    <w:rPr>
      <w:b/>
      <w:bCs/>
      <w:sz w:val="24"/>
      <w:szCs w:val="24"/>
      <w:lang w:bidi="ar-SA"/>
    </w:rPr>
  </w:style>
  <w:style w:type="paragraph" w:styleId="BalloonText">
    <w:basedOn w:val="Normal"/>
    <w:link w:val="BalloonTextChar"/>
    <w:name w:val="Balloon Text"/>
    <w:rPr>
      <w:rFonts w:ascii="Tahoma" w:hAnsi="Tahoma" w:cs="Tahoma"/>
      <w:sz w:val="16"/>
      <w:szCs w:val="16"/>
    </w:rPr>
  </w:style>
  <w:style w:type="character" w:customStyle="1" w:styleId="BalloonTextChar">
    <w:basedOn w:val="DefaultParagraphFont"/>
    <w:link w:val="BalloonText"/>
    <w:name w:val="Balloon Text Char"/>
    <w:rPr>
      <w:rFonts w:ascii="Tahoma" w:hAnsi="Tahoma" w:cs="Tahoma"/>
      <w:b/>
      <w:bCs/>
      <w:sz w:val="16"/>
      <w:szCs w:val="16"/>
      <w:lang w:bidi="ar-SA"/>
    </w:rPr>
  </w:style>
  <w:style w:type="paragraph" w:styleId="ListParagraph">
    <w:basedOn w:val="Normal"/>
    <w:name w:val="List Paragraph"/>
    <w:pPr>
      <w:ind w:left="720"/>
      <w:contextualSpacing/>
    </w:pPr>
    <w:qFormat/>
    <w:uiPriority w:val="34"/>
  </w:style>
  <w:style w:type="paragraph" w:styleId="NormalWeb">
    <w:basedOn w:val="Normal"/>
    <w:name w:val="Normal (Web)"/>
    <w:pPr>
      <w:bidi w:val="0"/>
      <w:spacing w:before="100" w:beforeAutospacing="1" w:after="100" w:afterAutospacing="1"/>
    </w:pPr>
    <w:rPr>
      <w:rFonts w:ascii="Tahoma" w:hAnsi="Tahoma" w:cs="Tahoma"/>
      <w:b w:val="0"/>
      <w:bCs w:val="0"/>
      <w:color w:val="000080"/>
      <w:sz w:val="20"/>
      <w:szCs w:val="20"/>
    </w:rPr>
    <w:uiPriority w:val="99"/>
    <w:unhideWhenUsed/>
  </w:style>
  <w:style w:type="character" w:styleId="Strong">
    <w:basedOn w:val="DefaultParagraphFont"/>
    <w:name w:val="Strong"/>
    <w:qFormat/>
    <w:rPr>
      <w:b/>
      <w:bCs/>
    </w:rPr>
    <w:uiPriority w:val="22"/>
  </w:style>
  <w:style w:type="character" w:customStyle="1" w:styleId="Heading4Char">
    <w:basedOn w:val="DefaultParagraphFont"/>
    <w:link w:val="Heading4"/>
    <w:name w:val="Heading 4 Char"/>
    <w:rPr>
      <w:rFonts w:asciiTheme="majorHAnsi" w:eastAsiaTheme="majorEastAsia" w:hAnsiTheme="majorHAnsi" w:cstheme="majorBidi"/>
      <w:b/>
      <w:bCs/>
      <w:i/>
      <w:iCs/>
      <w:color w:val="365F91" w:themeColor="accent1" w:themeShade="BF"/>
      <w:sz w:val="24"/>
      <w:szCs w:val="24"/>
      <w:lang w:bidi="ar-SA"/>
    </w:rPr>
    <w:semiHidden/>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